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B07" w:rsidRDefault="00655BFF" w:rsidP="00713B07">
      <w:pPr>
        <w:widowControl/>
        <w:jc w:val="center"/>
        <w:rPr>
          <w:rFonts w:ascii="微软雅黑" w:eastAsia="微软雅黑" w:hAnsi="微软雅黑" w:cs="Arial"/>
          <w:color w:val="333333"/>
          <w:kern w:val="0"/>
          <w:sz w:val="18"/>
          <w:szCs w:val="18"/>
        </w:rPr>
      </w:pPr>
      <w:r w:rsidRPr="00655BFF">
        <w:rPr>
          <w:rFonts w:ascii="华文中宋" w:eastAsia="华文中宋" w:hAnsi="华文中宋" w:cs="Arial" w:hint="eastAsia"/>
          <w:color w:val="333333"/>
          <w:kern w:val="0"/>
          <w:sz w:val="36"/>
          <w:szCs w:val="36"/>
        </w:rPr>
        <w:t>安徽省省直机关差旅费管理办法</w:t>
      </w:r>
    </w:p>
    <w:p w:rsidR="00655BFF" w:rsidRDefault="00713B07" w:rsidP="00713B07">
      <w:pPr>
        <w:widowControl/>
        <w:jc w:val="center"/>
        <w:rPr>
          <w:rFonts w:ascii="仿宋_GB2312" w:eastAsia="仿宋_GB2312" w:hAnsi="微软雅黑" w:cs="Arial"/>
          <w:color w:val="333333"/>
          <w:kern w:val="0"/>
          <w:sz w:val="30"/>
          <w:szCs w:val="30"/>
        </w:rPr>
      </w:pPr>
      <w:r w:rsidRPr="00713B07">
        <w:rPr>
          <w:rFonts w:ascii="仿宋_GB2312" w:eastAsia="仿宋_GB2312" w:hAnsi="微软雅黑" w:cs="Arial" w:hint="eastAsia"/>
          <w:color w:val="333333"/>
          <w:kern w:val="0"/>
          <w:sz w:val="30"/>
          <w:szCs w:val="30"/>
        </w:rPr>
        <w:t>（</w:t>
      </w:r>
      <w:proofErr w:type="gramStart"/>
      <w:r w:rsidRPr="00713B07">
        <w:rPr>
          <w:rFonts w:ascii="仿宋_GB2312" w:eastAsia="仿宋_GB2312" w:hAnsi="微软雅黑" w:cs="Arial" w:hint="eastAsia"/>
          <w:color w:val="333333"/>
          <w:kern w:val="0"/>
          <w:sz w:val="30"/>
          <w:szCs w:val="30"/>
        </w:rPr>
        <w:t>财行〔</w:t>
      </w:r>
      <w:r w:rsidRPr="00713B07">
        <w:rPr>
          <w:rFonts w:ascii="仿宋_GB2312" w:eastAsia="仿宋_GB2312" w:hAnsi="微软雅黑" w:cs="Arial"/>
          <w:color w:val="333333"/>
          <w:kern w:val="0"/>
          <w:sz w:val="30"/>
          <w:szCs w:val="30"/>
        </w:rPr>
        <w:t>2014〕</w:t>
      </w:r>
      <w:proofErr w:type="gramEnd"/>
      <w:r w:rsidRPr="00713B07">
        <w:rPr>
          <w:rFonts w:ascii="仿宋_GB2312" w:eastAsia="仿宋_GB2312" w:hAnsi="微软雅黑" w:cs="Arial"/>
          <w:color w:val="333333"/>
          <w:kern w:val="0"/>
          <w:sz w:val="30"/>
          <w:szCs w:val="30"/>
        </w:rPr>
        <w:t>97号）</w:t>
      </w:r>
    </w:p>
    <w:p w:rsidR="00713B07" w:rsidRPr="00655BFF" w:rsidRDefault="00713B07" w:rsidP="00713B07">
      <w:pPr>
        <w:widowControl/>
        <w:jc w:val="center"/>
        <w:rPr>
          <w:rFonts w:ascii="微软雅黑" w:eastAsia="微软雅黑" w:hAnsi="微软雅黑" w:cs="Arial" w:hint="eastAsia"/>
          <w:color w:val="333333"/>
          <w:kern w:val="0"/>
          <w:sz w:val="18"/>
          <w:szCs w:val="18"/>
        </w:rPr>
      </w:pPr>
      <w:bookmarkStart w:id="0" w:name="_GoBack"/>
      <w:bookmarkEnd w:id="0"/>
    </w:p>
    <w:p w:rsidR="00655BFF" w:rsidRPr="00655BFF" w:rsidRDefault="00655BFF" w:rsidP="00655BFF">
      <w:pPr>
        <w:widowControl/>
        <w:jc w:val="center"/>
        <w:rPr>
          <w:rFonts w:ascii="微软雅黑" w:eastAsia="微软雅黑" w:hAnsi="微软雅黑" w:cs="Arial" w:hint="eastAsia"/>
          <w:color w:val="333333"/>
          <w:kern w:val="0"/>
          <w:sz w:val="18"/>
          <w:szCs w:val="18"/>
        </w:rPr>
      </w:pPr>
      <w:r w:rsidRPr="00655BFF">
        <w:rPr>
          <w:rFonts w:ascii="黑体" w:eastAsia="黑体" w:hAnsi="黑体" w:cs="Arial" w:hint="eastAsia"/>
          <w:color w:val="333333"/>
          <w:kern w:val="0"/>
          <w:sz w:val="30"/>
          <w:szCs w:val="30"/>
        </w:rPr>
        <w:t>第一章  总则</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第一条  为全面贯彻落实中央《改进工作作风密切联系群众》规定，规范差旅费管理，按照勤俭节约、保障必需的原则，参照财政部《关于中央国家机关和事业单位差旅费管理办法的通知》，制定本办法。</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第二条  本办法适用于省直党政机关、人大机关、政协机关、审判机关、检察机关、民主党派机关、人民团体和参照公务员管理的事业单位，垂直管理的省级机关（不含省以下垂直管理单位），驻合肥市城区以外的省直机关（以下统称省直机关）。</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第三条  本办法所指差旅费是指省直机关工作人员离开所在城区开展公务活动所必需的费用，开支范围包括城市间交通费、住宿费、伙食补助费。</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第四条  省直机关必须建立健全出差报销审批制度，严格控制出差人数和天数。</w:t>
      </w:r>
    </w:p>
    <w:p w:rsidR="00655BFF" w:rsidRPr="00655BFF" w:rsidRDefault="00655BFF" w:rsidP="00655BFF">
      <w:pPr>
        <w:widowControl/>
        <w:ind w:firstLineChars="240" w:firstLine="720"/>
        <w:jc w:val="center"/>
        <w:rPr>
          <w:rFonts w:ascii="微软雅黑" w:eastAsia="微软雅黑" w:hAnsi="微软雅黑" w:cs="Arial" w:hint="eastAsia"/>
          <w:color w:val="333333"/>
          <w:kern w:val="0"/>
          <w:sz w:val="18"/>
          <w:szCs w:val="18"/>
        </w:rPr>
      </w:pPr>
      <w:r w:rsidRPr="00655BFF">
        <w:rPr>
          <w:rFonts w:ascii="黑体" w:eastAsia="黑体" w:hAnsi="黑体" w:cs="Arial" w:hint="eastAsia"/>
          <w:color w:val="333333"/>
          <w:kern w:val="0"/>
          <w:sz w:val="30"/>
          <w:szCs w:val="30"/>
        </w:rPr>
        <w:t>第二章  城市间交通费和住宿费</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第五条  出差人员应当按照规定等级乘坐交通工具和住宿。未按规定等级乘坐交通工具和住宿的，超支部分自理。</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第六条  城市间交通费开支标准（</w:t>
      </w:r>
      <w:proofErr w:type="gramStart"/>
      <w:r w:rsidRPr="00655BFF">
        <w:rPr>
          <w:rFonts w:ascii="仿宋_GB2312" w:eastAsia="仿宋_GB2312" w:hAnsi="微软雅黑" w:cs="Arial" w:hint="eastAsia"/>
          <w:color w:val="333333"/>
          <w:kern w:val="0"/>
          <w:sz w:val="30"/>
          <w:szCs w:val="30"/>
        </w:rPr>
        <w:t>详标准</w:t>
      </w:r>
      <w:proofErr w:type="gramEnd"/>
      <w:r w:rsidRPr="00655BFF">
        <w:rPr>
          <w:rFonts w:ascii="仿宋_GB2312" w:eastAsia="仿宋_GB2312" w:hAnsi="微软雅黑" w:cs="Arial" w:hint="eastAsia"/>
          <w:color w:val="333333"/>
          <w:kern w:val="0"/>
          <w:sz w:val="30"/>
          <w:szCs w:val="30"/>
        </w:rPr>
        <w:t>见附表）。</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lastRenderedPageBreak/>
        <w:t>（一）处级及以下职务人员乘坐普速列车，从当日晚8时至次日晨7时乘车6小时以上，或连续乘车超过12小时的，可购同席卧铺票。</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 xml:space="preserve">（二）正、副厅级及相当职务人员出差，因工作需要，随行一人可乘坐普速列车软席、高铁和动车一等座、轮船二等舱。 </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 xml:space="preserve">（三）副省级及相当职务人员出差，因工作需要，随行一人可乘坐普速列车软席、高铁商务座、动车一等座，轮船一等舱或飞机头等舱。 </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（四）出差人员赴机场、火车站，原则上不得乘坐出租车；市内往返机场（包括出发地和目的地）的交通费、航空旅客人身意外保险费（限每人每次一份），可凭票报销。</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第七条  住宿费开支标准（详见附表）</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（一）出差人员实行定点住宿。出差人员应在财政部门定点的宾馆住宿；因特殊情况没住定点宾馆的，应当选择三星级及以下宾馆住宿。住宿费在开支标准上限以内凭票报销。</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二）副省级及相当职务人员可住套间，费用上限标准600元/天；正、副厅级及相当职务人员可住单间或标准间，费用上限标准300元/天；处级及以下人员两人住一个标准间，费用上限标准150元/天；单数人出差，其单个人员可选择单间或标准间住宿，住宿费按照住宿标准两倍以内凭票报销，超过部分自理。</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lastRenderedPageBreak/>
        <w:t>（三）出差人员无住宿费发票，一律不予报销住宿费。</w:t>
      </w:r>
    </w:p>
    <w:p w:rsidR="00655BFF" w:rsidRPr="00655BFF" w:rsidRDefault="00655BFF" w:rsidP="00655BFF">
      <w:pPr>
        <w:widowControl/>
        <w:ind w:firstLineChars="240" w:firstLine="720"/>
        <w:jc w:val="center"/>
        <w:rPr>
          <w:rFonts w:ascii="微软雅黑" w:eastAsia="微软雅黑" w:hAnsi="微软雅黑" w:cs="Arial" w:hint="eastAsia"/>
          <w:color w:val="333333"/>
          <w:kern w:val="0"/>
          <w:sz w:val="18"/>
          <w:szCs w:val="18"/>
        </w:rPr>
      </w:pPr>
      <w:r w:rsidRPr="00655BFF">
        <w:rPr>
          <w:rFonts w:ascii="黑体" w:eastAsia="黑体" w:hAnsi="黑体" w:cs="Arial" w:hint="eastAsia"/>
          <w:color w:val="333333"/>
          <w:kern w:val="0"/>
          <w:sz w:val="30"/>
          <w:szCs w:val="30"/>
        </w:rPr>
        <w:t>第三章  伙食补助费和市内交通费</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第八条  出差人员在外就餐，原则上自行解决，按标准补助，实行定额包干。伙食补助费标准，按出差自然（日历）天数计算，不分途中和住勤。每人每天省外补助50元、省内补助30元。</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第九条  出差人员如遇特殊情况接待单位统一安排就餐的，按补助标准向接待单位交纳伙食补助费。</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第十条  工作人员出差期间在市内原则上乘坐公共汽车或地铁列车，凭据报销。确因工作需要发生的市内出租车交通费，经单位领导批准，凭据报销。</w:t>
      </w:r>
    </w:p>
    <w:p w:rsidR="00655BFF" w:rsidRPr="00655BFF" w:rsidRDefault="00655BFF" w:rsidP="00655BFF">
      <w:pPr>
        <w:widowControl/>
        <w:ind w:firstLineChars="240" w:firstLine="720"/>
        <w:jc w:val="center"/>
        <w:rPr>
          <w:rFonts w:ascii="微软雅黑" w:eastAsia="微软雅黑" w:hAnsi="微软雅黑" w:cs="Arial" w:hint="eastAsia"/>
          <w:color w:val="333333"/>
          <w:kern w:val="0"/>
          <w:sz w:val="18"/>
          <w:szCs w:val="18"/>
        </w:rPr>
      </w:pPr>
      <w:r w:rsidRPr="00655BFF">
        <w:rPr>
          <w:rFonts w:ascii="黑体" w:eastAsia="黑体" w:hAnsi="黑体" w:cs="Arial" w:hint="eastAsia"/>
          <w:color w:val="333333"/>
          <w:kern w:val="0"/>
          <w:sz w:val="30"/>
          <w:szCs w:val="30"/>
        </w:rPr>
        <w:t>第四章  因公出国（境）、参加会议、培训等的差旅费</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第十一条  工作人员因公出国（境）境内交通费、住宿费、伙食补助费按本《办法》规定报销。因公出国（境）境外的食宿费、交通费，按《安徽省省直党政机关因公出国（境）经费管理办法》规定执行。</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第十二条   经组织批准参加党政部门主办的会议、培训，在会议、培训期间统一安排食宿的，凭会议、</w:t>
      </w:r>
      <w:proofErr w:type="gramStart"/>
      <w:r w:rsidRPr="00655BFF">
        <w:rPr>
          <w:rFonts w:ascii="仿宋_GB2312" w:eastAsia="仿宋_GB2312" w:hAnsi="微软雅黑" w:cs="Arial" w:hint="eastAsia"/>
          <w:color w:val="333333"/>
          <w:kern w:val="0"/>
          <w:sz w:val="30"/>
          <w:szCs w:val="30"/>
        </w:rPr>
        <w:t>培训主办</w:t>
      </w:r>
      <w:proofErr w:type="gramEnd"/>
      <w:r w:rsidRPr="00655BFF">
        <w:rPr>
          <w:rFonts w:ascii="仿宋_GB2312" w:eastAsia="仿宋_GB2312" w:hAnsi="微软雅黑" w:cs="Arial" w:hint="eastAsia"/>
          <w:color w:val="333333"/>
          <w:kern w:val="0"/>
          <w:sz w:val="30"/>
          <w:szCs w:val="30"/>
        </w:rPr>
        <w:t>单位的通知及票据据实报销食宿费，不再报销伙食补助费。参加市内各类会议、培训一律不报销市内交通费。</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lastRenderedPageBreak/>
        <w:t>第十三条  到省内、外单位挂职锻炼、支援工作以及参加各种工作队等人员，往返途中交通费、住宿费、伙食补助费，按照本《办法》规定标准报销。</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第十四条  赴新疆、西藏等艰苦地区挂职锻炼、支援工作等人员，在外期间各项津贴、休假及配偶探亲差旅费的报销，按相关文件规定执行。工作期间出差由接受单位承担差旅费。</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到上级单位挂职锻炼的，挂职期间每人每天发放伙食补助费20元。长期驻村的，驻村期间每人每天发放伙食补助费10元，伙食补助费由原单位报销。工作期间由所在单位承担差旅费。</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第十五条  经单位主要领导和同级医疗保险管理部门批准，需要到外地治病休养的工作人员，可报销本人到达治病地点往返一次的城市间交通费，不报销伙食补助费、市内交通费（因公负伤的除外）。</w:t>
      </w:r>
    </w:p>
    <w:p w:rsidR="00655BFF" w:rsidRPr="00655BFF" w:rsidRDefault="00655BFF" w:rsidP="00655BFF">
      <w:pPr>
        <w:widowControl/>
        <w:ind w:firstLineChars="240" w:firstLine="720"/>
        <w:jc w:val="center"/>
        <w:rPr>
          <w:rFonts w:ascii="微软雅黑" w:eastAsia="微软雅黑" w:hAnsi="微软雅黑" w:cs="Arial" w:hint="eastAsia"/>
          <w:color w:val="333333"/>
          <w:kern w:val="0"/>
          <w:sz w:val="18"/>
          <w:szCs w:val="18"/>
        </w:rPr>
      </w:pPr>
      <w:r w:rsidRPr="00655BFF">
        <w:rPr>
          <w:rFonts w:ascii="黑体" w:eastAsia="黑体" w:hAnsi="黑体" w:cs="Arial" w:hint="eastAsia"/>
          <w:color w:val="333333"/>
          <w:kern w:val="0"/>
          <w:sz w:val="30"/>
          <w:szCs w:val="30"/>
        </w:rPr>
        <w:t>第五章  调动、搬迁、探亲的差旅费</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第十六条  工作人员调动工作，在途期间的交通费、住宿费、伙食补助费，按本《办法》规定，由调入单位报销。其行李、家具等托运费，由调入单位按不超过每人每公里1元标准，凭据报销。</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第十七条  由部队转业到省直单位工作的人员，其差旅费按照解放军总后勤部的有关规定，由所在部队按合理路线、规</w:t>
      </w:r>
      <w:r w:rsidRPr="00655BFF">
        <w:rPr>
          <w:rFonts w:ascii="仿宋_GB2312" w:eastAsia="仿宋_GB2312" w:hAnsi="微软雅黑" w:cs="Arial" w:hint="eastAsia"/>
          <w:color w:val="333333"/>
          <w:kern w:val="0"/>
          <w:sz w:val="30"/>
          <w:szCs w:val="30"/>
        </w:rPr>
        <w:lastRenderedPageBreak/>
        <w:t>定标准计算发给，到达调入单位后结算，多退少补，作为增加或减少单位的差旅费处理。</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第十八条  省直机关工作人员享受法定探亲、节假日，不予以报销差旅费；出差或调动工作期间，经单位主管领导批准就近回家省亲办事的，其绕道城市间交通费，扣除出差直线单程交通费，超过部分由个人自理。绕道和在家期间不予报销住宿费、伙食补助费。</w:t>
      </w:r>
    </w:p>
    <w:p w:rsidR="00655BFF" w:rsidRPr="00655BFF" w:rsidRDefault="00655BFF" w:rsidP="00655BFF">
      <w:pPr>
        <w:widowControl/>
        <w:ind w:firstLineChars="240" w:firstLine="720"/>
        <w:jc w:val="center"/>
        <w:rPr>
          <w:rFonts w:ascii="微软雅黑" w:eastAsia="微软雅黑" w:hAnsi="微软雅黑" w:cs="Arial" w:hint="eastAsia"/>
          <w:color w:val="333333"/>
          <w:kern w:val="0"/>
          <w:sz w:val="18"/>
          <w:szCs w:val="18"/>
        </w:rPr>
      </w:pPr>
      <w:r w:rsidRPr="00655BFF">
        <w:rPr>
          <w:rFonts w:ascii="黑体" w:eastAsia="黑体" w:hAnsi="黑体" w:cs="Arial" w:hint="eastAsia"/>
          <w:color w:val="333333"/>
          <w:kern w:val="0"/>
          <w:sz w:val="30"/>
          <w:szCs w:val="30"/>
        </w:rPr>
        <w:t>第六章  监督管理</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第十九条  工作人员出差期间，应按本办法规定标准自行结算食、</w:t>
      </w:r>
      <w:proofErr w:type="gramStart"/>
      <w:r w:rsidRPr="00655BFF">
        <w:rPr>
          <w:rFonts w:ascii="仿宋_GB2312" w:eastAsia="仿宋_GB2312" w:hAnsi="微软雅黑" w:cs="Arial" w:hint="eastAsia"/>
          <w:color w:val="333333"/>
          <w:kern w:val="0"/>
          <w:sz w:val="30"/>
          <w:szCs w:val="30"/>
        </w:rPr>
        <w:t>宿等费用</w:t>
      </w:r>
      <w:proofErr w:type="gramEnd"/>
      <w:r w:rsidRPr="00655BFF">
        <w:rPr>
          <w:rFonts w:ascii="仿宋_GB2312" w:eastAsia="仿宋_GB2312" w:hAnsi="微软雅黑" w:cs="Arial" w:hint="eastAsia"/>
          <w:color w:val="333333"/>
          <w:kern w:val="0"/>
          <w:sz w:val="30"/>
          <w:szCs w:val="30"/>
        </w:rPr>
        <w:t>，不得转嫁到其他单位。各接待单位协助安排食、宿的，要严格遵守各类出差人员住宿费限定标准，不得以任何名义免收或少收食、宿费。出差期间，因非工作需要的参观而开支的费用，均由个人自理。</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第二十条  住宿费一律实行公务卡结算。</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第二十一条  省直机关要规范差旅费管理，自觉接受监督。省纪委、省监察厅、省财政厅、省审计厅定期联合开展差旅费的专项监督检查，对违反本办法规定的，一经查实，按照有关规定严肃处理。</w:t>
      </w:r>
    </w:p>
    <w:p w:rsidR="00655BFF" w:rsidRPr="00655BFF" w:rsidRDefault="00655BFF" w:rsidP="00655BFF">
      <w:pPr>
        <w:widowControl/>
        <w:ind w:firstLineChars="240" w:firstLine="720"/>
        <w:jc w:val="center"/>
        <w:rPr>
          <w:rFonts w:ascii="微软雅黑" w:eastAsia="微软雅黑" w:hAnsi="微软雅黑" w:cs="Arial" w:hint="eastAsia"/>
          <w:color w:val="333333"/>
          <w:kern w:val="0"/>
          <w:sz w:val="18"/>
          <w:szCs w:val="18"/>
        </w:rPr>
      </w:pPr>
      <w:r w:rsidRPr="00655BFF">
        <w:rPr>
          <w:rFonts w:ascii="黑体" w:eastAsia="黑体" w:hAnsi="黑体" w:cs="Arial" w:hint="eastAsia"/>
          <w:color w:val="333333"/>
          <w:kern w:val="0"/>
          <w:sz w:val="30"/>
          <w:szCs w:val="30"/>
        </w:rPr>
        <w:t>第七章  附 则</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第二十二条  省垂直管理单位可根据本办法</w:t>
      </w:r>
      <w:proofErr w:type="gramStart"/>
      <w:r w:rsidRPr="00655BFF">
        <w:rPr>
          <w:rFonts w:ascii="仿宋_GB2312" w:eastAsia="仿宋_GB2312" w:hAnsi="微软雅黑" w:cs="Arial" w:hint="eastAsia"/>
          <w:color w:val="333333"/>
          <w:kern w:val="0"/>
          <w:sz w:val="30"/>
          <w:szCs w:val="30"/>
        </w:rPr>
        <w:t>制定省</w:t>
      </w:r>
      <w:proofErr w:type="gramEnd"/>
      <w:r w:rsidRPr="00655BFF">
        <w:rPr>
          <w:rFonts w:ascii="仿宋_GB2312" w:eastAsia="仿宋_GB2312" w:hAnsi="微软雅黑" w:cs="Arial" w:hint="eastAsia"/>
          <w:color w:val="333333"/>
          <w:kern w:val="0"/>
          <w:sz w:val="30"/>
          <w:szCs w:val="30"/>
        </w:rPr>
        <w:t>以下垂直管理单位的具体实施办法。</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lastRenderedPageBreak/>
        <w:t>第二十三条   财政拨款、财政补助的事业单位可参照本办法执行。</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第二十四条  本办法自2013年8月1日起实行。省</w:t>
      </w:r>
      <w:proofErr w:type="gramStart"/>
      <w:r w:rsidRPr="00655BFF">
        <w:rPr>
          <w:rFonts w:ascii="仿宋_GB2312" w:eastAsia="仿宋_GB2312" w:hAnsi="微软雅黑" w:cs="Arial" w:hint="eastAsia"/>
          <w:color w:val="333333"/>
          <w:kern w:val="0"/>
          <w:sz w:val="30"/>
          <w:szCs w:val="30"/>
        </w:rPr>
        <w:t>财政厅财行【2010】</w:t>
      </w:r>
      <w:proofErr w:type="gramEnd"/>
      <w:r w:rsidRPr="00655BFF">
        <w:rPr>
          <w:rFonts w:ascii="仿宋_GB2312" w:eastAsia="仿宋_GB2312" w:hAnsi="微软雅黑" w:cs="Arial" w:hint="eastAsia"/>
          <w:color w:val="333333"/>
          <w:kern w:val="0"/>
          <w:sz w:val="30"/>
          <w:szCs w:val="30"/>
        </w:rPr>
        <w:t>1760号印发的《安徽省省直机关差旅费管理办法》同时废止。</w:t>
      </w:r>
    </w:p>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第二十六条  本办法由省财政厅负责解释。</w:t>
      </w:r>
    </w:p>
    <w:p w:rsidR="00655BFF" w:rsidRPr="00655BFF" w:rsidRDefault="00655BFF" w:rsidP="00655BFF">
      <w:pPr>
        <w:widowControl/>
        <w:spacing w:line="560" w:lineRule="exact"/>
        <w:ind w:leftChars="-257" w:left="-36" w:hangingChars="168" w:hanging="504"/>
        <w:jc w:val="left"/>
        <w:rPr>
          <w:rFonts w:ascii="微软雅黑" w:eastAsia="微软雅黑" w:hAnsi="微软雅黑" w:cs="Arial" w:hint="eastAsia"/>
          <w:color w:val="333333"/>
          <w:kern w:val="0"/>
          <w:sz w:val="18"/>
          <w:szCs w:val="18"/>
        </w:rPr>
      </w:pPr>
      <w:r w:rsidRPr="00655BFF">
        <w:rPr>
          <w:rFonts w:ascii="仿宋_GB2312" w:eastAsia="仿宋_GB2312" w:hAnsi="宋体" w:cs="宋体" w:hint="eastAsia"/>
          <w:color w:val="333333"/>
          <w:kern w:val="0"/>
          <w:sz w:val="30"/>
          <w:szCs w:val="30"/>
        </w:rPr>
        <w:br w:type="page"/>
      </w:r>
      <w:r w:rsidRPr="00655BFF">
        <w:rPr>
          <w:rFonts w:ascii="宋体" w:eastAsia="宋体" w:hAnsi="宋体" w:cs="Arial" w:hint="eastAsia"/>
          <w:b/>
          <w:color w:val="000000"/>
          <w:kern w:val="0"/>
          <w:sz w:val="32"/>
          <w:szCs w:val="24"/>
        </w:rPr>
        <w:lastRenderedPageBreak/>
        <w:t>附表： 出差人员乘坐交通工具等级及交通费、住宿费开支标准</w:t>
      </w:r>
    </w:p>
    <w:tbl>
      <w:tblPr>
        <w:tblW w:w="10546" w:type="dxa"/>
        <w:jc w:val="center"/>
        <w:tblLook w:val="04A0" w:firstRow="1" w:lastRow="0" w:firstColumn="1" w:lastColumn="0" w:noHBand="0" w:noVBand="1"/>
      </w:tblPr>
      <w:tblGrid>
        <w:gridCol w:w="2147"/>
        <w:gridCol w:w="1872"/>
        <w:gridCol w:w="1177"/>
        <w:gridCol w:w="1177"/>
        <w:gridCol w:w="1107"/>
        <w:gridCol w:w="1331"/>
        <w:gridCol w:w="868"/>
        <w:gridCol w:w="867"/>
      </w:tblGrid>
      <w:tr w:rsidR="00655BFF" w:rsidRPr="00655BFF" w:rsidTr="00655BFF">
        <w:trPr>
          <w:trHeight w:val="420"/>
          <w:jc w:val="center"/>
        </w:trPr>
        <w:tc>
          <w:tcPr>
            <w:tcW w:w="2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5BFF" w:rsidRPr="00655BFF" w:rsidRDefault="00655BFF" w:rsidP="00655BFF">
            <w:pPr>
              <w:widowControl/>
              <w:jc w:val="left"/>
              <w:rPr>
                <w:rFonts w:ascii="微软雅黑" w:eastAsia="微软雅黑" w:hAnsi="微软雅黑" w:cs="宋体" w:hint="eastAsia"/>
                <w:color w:val="333333"/>
                <w:kern w:val="0"/>
                <w:sz w:val="18"/>
                <w:szCs w:val="18"/>
              </w:rPr>
            </w:pPr>
            <w:r w:rsidRPr="00655BFF">
              <w:rPr>
                <w:rFonts w:ascii="宋体" w:eastAsia="宋体" w:hAnsi="宋体" w:cs="宋体" w:hint="eastAsia"/>
                <w:color w:val="333333"/>
                <w:kern w:val="0"/>
                <w:sz w:val="24"/>
                <w:szCs w:val="24"/>
              </w:rPr>
              <w:t>等   交通工具</w:t>
            </w:r>
          </w:p>
          <w:p w:rsidR="00655BFF" w:rsidRPr="00655BFF" w:rsidRDefault="00655BFF" w:rsidP="00655BFF">
            <w:pPr>
              <w:widowControl/>
              <w:jc w:val="left"/>
              <w:rPr>
                <w:rFonts w:ascii="微软雅黑" w:eastAsia="微软雅黑" w:hAnsi="微软雅黑" w:cs="宋体" w:hint="eastAsia"/>
                <w:color w:val="333333"/>
                <w:kern w:val="0"/>
                <w:sz w:val="18"/>
                <w:szCs w:val="18"/>
              </w:rPr>
            </w:pPr>
            <w:r w:rsidRPr="00655BFF">
              <w:rPr>
                <w:rFonts w:ascii="宋体" w:eastAsia="宋体" w:hAnsi="宋体" w:cs="宋体" w:hint="eastAsia"/>
                <w:color w:val="333333"/>
                <w:kern w:val="0"/>
                <w:sz w:val="24"/>
                <w:szCs w:val="24"/>
              </w:rPr>
              <w:t>级</w:t>
            </w:r>
          </w:p>
          <w:p w:rsidR="00655BFF" w:rsidRPr="00655BFF" w:rsidRDefault="00655BFF" w:rsidP="00655BFF">
            <w:pPr>
              <w:widowControl/>
              <w:jc w:val="left"/>
              <w:rPr>
                <w:rFonts w:ascii="微软雅黑" w:eastAsia="微软雅黑" w:hAnsi="微软雅黑" w:cs="宋体" w:hint="eastAsia"/>
                <w:color w:val="333333"/>
                <w:kern w:val="0"/>
                <w:sz w:val="18"/>
                <w:szCs w:val="18"/>
              </w:rPr>
            </w:pPr>
            <w:r w:rsidRPr="00655BFF">
              <w:rPr>
                <w:rFonts w:ascii="宋体" w:eastAsia="宋体" w:hAnsi="宋体" w:cs="宋体" w:hint="eastAsia"/>
                <w:color w:val="333333"/>
                <w:kern w:val="0"/>
                <w:sz w:val="24"/>
                <w:szCs w:val="24"/>
              </w:rPr>
              <w:t>标</w:t>
            </w:r>
          </w:p>
          <w:p w:rsidR="00655BFF" w:rsidRPr="00655BFF" w:rsidRDefault="00655BFF" w:rsidP="00655BFF">
            <w:pPr>
              <w:widowControl/>
              <w:jc w:val="left"/>
              <w:rPr>
                <w:rFonts w:ascii="微软雅黑" w:eastAsia="微软雅黑" w:hAnsi="微软雅黑" w:cs="宋体" w:hint="eastAsia"/>
                <w:color w:val="333333"/>
                <w:kern w:val="0"/>
                <w:sz w:val="18"/>
                <w:szCs w:val="18"/>
              </w:rPr>
            </w:pPr>
            <w:r w:rsidRPr="00655BFF">
              <w:rPr>
                <w:rFonts w:ascii="宋体" w:eastAsia="宋体" w:hAnsi="宋体" w:cs="宋体" w:hint="eastAsia"/>
                <w:color w:val="333333"/>
                <w:kern w:val="0"/>
                <w:sz w:val="24"/>
                <w:szCs w:val="24"/>
              </w:rPr>
              <w:t>准</w:t>
            </w:r>
          </w:p>
          <w:p w:rsidR="00655BFF" w:rsidRPr="00655BFF" w:rsidRDefault="00655BFF" w:rsidP="00655BFF">
            <w:pPr>
              <w:widowControl/>
              <w:jc w:val="left"/>
              <w:rPr>
                <w:rFonts w:ascii="微软雅黑" w:eastAsia="微软雅黑" w:hAnsi="微软雅黑" w:cs="宋体" w:hint="eastAsia"/>
                <w:color w:val="333333"/>
                <w:kern w:val="0"/>
                <w:sz w:val="18"/>
                <w:szCs w:val="18"/>
              </w:rPr>
            </w:pPr>
            <w:r w:rsidRPr="00655BFF">
              <w:rPr>
                <w:rFonts w:ascii="宋体" w:eastAsia="宋体" w:hAnsi="宋体" w:cs="宋体" w:hint="eastAsia"/>
                <w:color w:val="333333"/>
                <w:kern w:val="0"/>
                <w:sz w:val="24"/>
                <w:szCs w:val="24"/>
              </w:rPr>
              <w:t> </w:t>
            </w:r>
          </w:p>
          <w:p w:rsidR="00655BFF" w:rsidRPr="00655BFF" w:rsidRDefault="00655BFF" w:rsidP="00655BFF">
            <w:pPr>
              <w:widowControl/>
              <w:jc w:val="left"/>
              <w:rPr>
                <w:rFonts w:ascii="微软雅黑" w:eastAsia="微软雅黑" w:hAnsi="微软雅黑" w:cs="宋体" w:hint="eastAsia"/>
                <w:color w:val="333333"/>
                <w:kern w:val="0"/>
                <w:sz w:val="18"/>
                <w:szCs w:val="18"/>
              </w:rPr>
            </w:pPr>
            <w:r w:rsidRPr="00655BFF">
              <w:rPr>
                <w:rFonts w:ascii="宋体" w:eastAsia="宋体" w:hAnsi="宋体" w:cs="宋体" w:hint="eastAsia"/>
                <w:color w:val="333333"/>
                <w:kern w:val="0"/>
                <w:sz w:val="24"/>
                <w:szCs w:val="24"/>
              </w:rPr>
              <w:t> </w:t>
            </w:r>
          </w:p>
          <w:p w:rsidR="00655BFF" w:rsidRPr="00655BFF" w:rsidRDefault="00655BFF" w:rsidP="00655BFF">
            <w:pPr>
              <w:widowControl/>
              <w:jc w:val="left"/>
              <w:rPr>
                <w:rFonts w:ascii="微软雅黑" w:eastAsia="微软雅黑" w:hAnsi="微软雅黑" w:cs="宋体" w:hint="eastAsia"/>
                <w:color w:val="333333"/>
                <w:kern w:val="0"/>
                <w:sz w:val="18"/>
                <w:szCs w:val="18"/>
              </w:rPr>
            </w:pPr>
            <w:r w:rsidRPr="00655BFF">
              <w:rPr>
                <w:rFonts w:ascii="宋体" w:eastAsia="宋体" w:hAnsi="宋体" w:cs="宋体" w:hint="eastAsia"/>
                <w:color w:val="333333"/>
                <w:kern w:val="0"/>
                <w:sz w:val="24"/>
                <w:szCs w:val="24"/>
              </w:rPr>
              <w:t> </w:t>
            </w:r>
          </w:p>
          <w:p w:rsidR="00655BFF" w:rsidRPr="00655BFF" w:rsidRDefault="00655BFF" w:rsidP="00655BFF">
            <w:pPr>
              <w:widowControl/>
              <w:jc w:val="left"/>
              <w:rPr>
                <w:rFonts w:ascii="微软雅黑" w:eastAsia="微软雅黑" w:hAnsi="微软雅黑" w:cs="宋体" w:hint="eastAsia"/>
                <w:color w:val="333333"/>
                <w:kern w:val="0"/>
                <w:sz w:val="18"/>
                <w:szCs w:val="18"/>
              </w:rPr>
            </w:pPr>
            <w:r w:rsidRPr="00655BFF">
              <w:rPr>
                <w:rFonts w:ascii="宋体" w:eastAsia="宋体" w:hAnsi="宋体" w:cs="宋体" w:hint="eastAsia"/>
                <w:color w:val="333333"/>
                <w:kern w:val="0"/>
                <w:sz w:val="24"/>
                <w:szCs w:val="24"/>
              </w:rPr>
              <w:t>职务</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黑体" w:eastAsia="黑体" w:hAnsi="宋体" w:cs="宋体" w:hint="eastAsia"/>
                <w:color w:val="000000"/>
                <w:kern w:val="0"/>
                <w:sz w:val="28"/>
                <w:szCs w:val="28"/>
              </w:rPr>
              <w:t>普速列车</w:t>
            </w:r>
          </w:p>
        </w:tc>
        <w:tc>
          <w:tcPr>
            <w:tcW w:w="11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黑体" w:eastAsia="黑体" w:hAnsi="宋体" w:cs="宋体" w:hint="eastAsia"/>
                <w:color w:val="000000"/>
                <w:kern w:val="0"/>
                <w:sz w:val="28"/>
                <w:szCs w:val="28"/>
              </w:rPr>
              <w:t> </w:t>
            </w:r>
          </w:p>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黑体" w:eastAsia="黑体" w:hAnsi="宋体" w:cs="宋体" w:hint="eastAsia"/>
                <w:color w:val="000000"/>
                <w:kern w:val="0"/>
                <w:sz w:val="28"/>
                <w:szCs w:val="28"/>
              </w:rPr>
              <w:t>高铁、动车</w:t>
            </w:r>
          </w:p>
        </w:tc>
        <w:tc>
          <w:tcPr>
            <w:tcW w:w="11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黑体" w:eastAsia="黑体" w:hAnsi="宋体" w:cs="宋体" w:hint="eastAsia"/>
                <w:color w:val="000000"/>
                <w:kern w:val="0"/>
                <w:sz w:val="28"/>
                <w:szCs w:val="28"/>
              </w:rPr>
              <w:t>轮船</w:t>
            </w:r>
          </w:p>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黑体" w:eastAsia="黑体" w:hAnsi="宋体" w:cs="宋体" w:hint="eastAsia"/>
                <w:color w:val="000000"/>
                <w:kern w:val="0"/>
                <w:sz w:val="28"/>
                <w:szCs w:val="28"/>
              </w:rPr>
              <w:t>（不含</w:t>
            </w:r>
          </w:p>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黑体" w:eastAsia="黑体" w:hAnsi="宋体" w:cs="宋体" w:hint="eastAsia"/>
                <w:color w:val="000000"/>
                <w:kern w:val="0"/>
                <w:sz w:val="28"/>
                <w:szCs w:val="28"/>
              </w:rPr>
              <w:t>旅游船）</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黑体" w:eastAsia="黑体" w:hAnsi="宋体" w:cs="宋体" w:hint="eastAsia"/>
                <w:color w:val="000000"/>
                <w:kern w:val="0"/>
                <w:sz w:val="28"/>
                <w:szCs w:val="28"/>
              </w:rPr>
              <w:t>飞机</w:t>
            </w:r>
          </w:p>
        </w:tc>
        <w:tc>
          <w:tcPr>
            <w:tcW w:w="13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黑体" w:eastAsia="黑体" w:hAnsi="宋体" w:cs="宋体" w:hint="eastAsia"/>
                <w:color w:val="000000"/>
                <w:kern w:val="0"/>
                <w:sz w:val="28"/>
                <w:szCs w:val="28"/>
              </w:rPr>
              <w:t>其他交</w:t>
            </w:r>
            <w:r w:rsidRPr="00655BFF">
              <w:rPr>
                <w:rFonts w:ascii="黑体" w:eastAsia="黑体" w:hAnsi="宋体" w:cs="宋体" w:hint="eastAsia"/>
                <w:color w:val="000000"/>
                <w:kern w:val="0"/>
                <w:sz w:val="28"/>
                <w:szCs w:val="28"/>
              </w:rPr>
              <w:br/>
              <w:t xml:space="preserve">通工具 </w:t>
            </w:r>
          </w:p>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黑体" w:eastAsia="黑体" w:hAnsi="宋体" w:cs="宋体" w:hint="eastAsia"/>
                <w:color w:val="000000"/>
                <w:kern w:val="0"/>
                <w:sz w:val="28"/>
                <w:szCs w:val="28"/>
              </w:rPr>
              <w:t>（不含出租车）</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黑体" w:eastAsia="黑体" w:hAnsi="宋体" w:cs="宋体" w:hint="eastAsia"/>
                <w:color w:val="000000"/>
                <w:kern w:val="0"/>
                <w:sz w:val="28"/>
                <w:szCs w:val="28"/>
              </w:rPr>
              <w:t>住宿费开支标准上限（元/人·天）</w:t>
            </w:r>
          </w:p>
        </w:tc>
      </w:tr>
      <w:tr w:rsidR="00655BFF" w:rsidRPr="00655BFF" w:rsidTr="00655BFF">
        <w:trPr>
          <w:trHeight w:val="14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5BFF" w:rsidRPr="00655BFF" w:rsidRDefault="00655BFF" w:rsidP="00655BFF">
            <w:pPr>
              <w:widowControl/>
              <w:jc w:val="left"/>
              <w:rPr>
                <w:rFonts w:ascii="微软雅黑" w:eastAsia="微软雅黑" w:hAnsi="微软雅黑" w:cs="宋体"/>
                <w:color w:val="333333"/>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5BFF" w:rsidRPr="00655BFF" w:rsidRDefault="00655BFF" w:rsidP="00655BFF">
            <w:pPr>
              <w:widowControl/>
              <w:jc w:val="left"/>
              <w:rPr>
                <w:rFonts w:ascii="微软雅黑" w:eastAsia="微软雅黑" w:hAnsi="微软雅黑" w:cs="宋体"/>
                <w:color w:val="333333"/>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5BFF" w:rsidRPr="00655BFF" w:rsidRDefault="00655BFF" w:rsidP="00655BFF">
            <w:pPr>
              <w:widowControl/>
              <w:jc w:val="left"/>
              <w:rPr>
                <w:rFonts w:ascii="微软雅黑" w:eastAsia="微软雅黑" w:hAnsi="微软雅黑" w:cs="宋体"/>
                <w:color w:val="333333"/>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5BFF" w:rsidRPr="00655BFF" w:rsidRDefault="00655BFF" w:rsidP="00655BFF">
            <w:pPr>
              <w:widowControl/>
              <w:jc w:val="left"/>
              <w:rPr>
                <w:rFonts w:ascii="微软雅黑" w:eastAsia="微软雅黑" w:hAnsi="微软雅黑" w:cs="宋体"/>
                <w:color w:val="333333"/>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5BFF" w:rsidRPr="00655BFF" w:rsidRDefault="00655BFF" w:rsidP="00655BFF">
            <w:pPr>
              <w:widowControl/>
              <w:jc w:val="left"/>
              <w:rPr>
                <w:rFonts w:ascii="微软雅黑" w:eastAsia="微软雅黑" w:hAnsi="微软雅黑" w:cs="宋体"/>
                <w:color w:val="333333"/>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5BFF" w:rsidRPr="00655BFF" w:rsidRDefault="00655BFF" w:rsidP="00655BFF">
            <w:pPr>
              <w:widowControl/>
              <w:jc w:val="left"/>
              <w:rPr>
                <w:rFonts w:ascii="微软雅黑" w:eastAsia="微软雅黑" w:hAnsi="微软雅黑" w:cs="宋体"/>
                <w:color w:val="333333"/>
                <w:kern w:val="0"/>
                <w:sz w:val="18"/>
                <w:szCs w:val="18"/>
              </w:rPr>
            </w:pPr>
          </w:p>
        </w:tc>
        <w:tc>
          <w:tcPr>
            <w:tcW w:w="872" w:type="dxa"/>
            <w:tcBorders>
              <w:top w:val="nil"/>
              <w:left w:val="nil"/>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黑体" w:eastAsia="黑体" w:hAnsi="宋体" w:cs="宋体" w:hint="eastAsia"/>
                <w:color w:val="000000"/>
                <w:kern w:val="0"/>
                <w:sz w:val="28"/>
                <w:szCs w:val="28"/>
              </w:rPr>
              <w:t>省外</w:t>
            </w:r>
          </w:p>
        </w:tc>
        <w:tc>
          <w:tcPr>
            <w:tcW w:w="872" w:type="dxa"/>
            <w:tcBorders>
              <w:top w:val="nil"/>
              <w:left w:val="nil"/>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黑体" w:eastAsia="黑体" w:hAnsi="宋体" w:cs="宋体" w:hint="eastAsia"/>
                <w:color w:val="000000"/>
                <w:kern w:val="0"/>
                <w:sz w:val="28"/>
                <w:szCs w:val="28"/>
              </w:rPr>
              <w:t>省内</w:t>
            </w:r>
          </w:p>
        </w:tc>
      </w:tr>
      <w:tr w:rsidR="00655BFF" w:rsidRPr="00655BFF" w:rsidTr="00655BFF">
        <w:trPr>
          <w:trHeight w:val="2243"/>
          <w:jc w:val="center"/>
        </w:trPr>
        <w:tc>
          <w:tcPr>
            <w:tcW w:w="2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仿宋" w:eastAsia="仿宋" w:hAnsi="宋体" w:cs="宋体" w:hint="eastAsia"/>
                <w:color w:val="000000"/>
                <w:kern w:val="0"/>
                <w:sz w:val="24"/>
                <w:szCs w:val="24"/>
              </w:rPr>
              <w:t>副省级及相当职务人员</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仿宋" w:eastAsia="仿宋" w:hAnsi="宋体" w:cs="宋体" w:hint="eastAsia"/>
                <w:color w:val="000000"/>
                <w:kern w:val="0"/>
                <w:sz w:val="24"/>
                <w:szCs w:val="24"/>
              </w:rPr>
              <w:t>软席（软座、软卧）</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仿宋" w:eastAsia="仿宋" w:hAnsi="宋体" w:cs="宋体" w:hint="eastAsia"/>
                <w:color w:val="000000"/>
                <w:kern w:val="0"/>
                <w:sz w:val="24"/>
                <w:szCs w:val="24"/>
              </w:rPr>
              <w:t>高铁商务座、动车一等座</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仿宋" w:eastAsia="仿宋" w:hAnsi="宋体" w:cs="宋体" w:hint="eastAsia"/>
                <w:color w:val="000000"/>
                <w:kern w:val="0"/>
                <w:sz w:val="24"/>
                <w:szCs w:val="24"/>
              </w:rPr>
              <w:t>一等舱</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仿宋" w:eastAsia="仿宋" w:hAnsi="宋体" w:cs="宋体" w:hint="eastAsia"/>
                <w:color w:val="000000"/>
                <w:kern w:val="0"/>
                <w:sz w:val="24"/>
                <w:szCs w:val="24"/>
              </w:rPr>
              <w:t>头等舱</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仿宋" w:eastAsia="仿宋" w:hAnsi="宋体" w:cs="宋体" w:hint="eastAsia"/>
                <w:color w:val="000000"/>
                <w:kern w:val="0"/>
                <w:sz w:val="24"/>
                <w:szCs w:val="24"/>
              </w:rPr>
              <w:t>据实报销</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left"/>
              <w:rPr>
                <w:rFonts w:ascii="微软雅黑" w:eastAsia="微软雅黑" w:hAnsi="微软雅黑" w:cs="宋体" w:hint="eastAsia"/>
                <w:color w:val="333333"/>
                <w:kern w:val="0"/>
                <w:sz w:val="18"/>
                <w:szCs w:val="18"/>
              </w:rPr>
            </w:pPr>
            <w:r w:rsidRPr="00655BFF">
              <w:rPr>
                <w:rFonts w:ascii="仿宋" w:eastAsia="仿宋" w:hAnsi="宋体" w:cs="宋体" w:hint="eastAsia"/>
                <w:color w:val="303030"/>
                <w:kern w:val="0"/>
                <w:sz w:val="24"/>
                <w:szCs w:val="24"/>
              </w:rPr>
              <w:t>600</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仿宋" w:eastAsia="仿宋" w:hAnsi="宋体" w:cs="宋体" w:hint="eastAsia"/>
                <w:color w:val="000000"/>
                <w:kern w:val="0"/>
                <w:sz w:val="24"/>
                <w:szCs w:val="24"/>
              </w:rPr>
              <w:t>600</w:t>
            </w:r>
          </w:p>
        </w:tc>
      </w:tr>
      <w:tr w:rsidR="00655BFF" w:rsidRPr="00655BFF" w:rsidTr="00655BFF">
        <w:trPr>
          <w:trHeight w:val="1539"/>
          <w:jc w:val="center"/>
        </w:trPr>
        <w:tc>
          <w:tcPr>
            <w:tcW w:w="2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仿宋" w:eastAsia="仿宋" w:hAnsi="宋体" w:cs="宋体" w:hint="eastAsia"/>
                <w:color w:val="000000"/>
                <w:kern w:val="0"/>
                <w:sz w:val="24"/>
                <w:szCs w:val="24"/>
              </w:rPr>
              <w:t>正副厅级及相当职务人员</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仿宋" w:eastAsia="仿宋" w:hAnsi="宋体" w:cs="宋体" w:hint="eastAsia"/>
                <w:color w:val="000000"/>
                <w:kern w:val="0"/>
                <w:sz w:val="24"/>
                <w:szCs w:val="24"/>
              </w:rPr>
              <w:t>软席（软座、软卧）</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仿宋" w:eastAsia="仿宋" w:hAnsi="宋体" w:cs="宋体" w:hint="eastAsia"/>
                <w:color w:val="000000"/>
                <w:kern w:val="0"/>
                <w:sz w:val="24"/>
                <w:szCs w:val="24"/>
              </w:rPr>
              <w:t>一等座</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仿宋" w:eastAsia="仿宋" w:hAnsi="宋体" w:cs="宋体" w:hint="eastAsia"/>
                <w:color w:val="000000"/>
                <w:kern w:val="0"/>
                <w:sz w:val="24"/>
                <w:szCs w:val="24"/>
              </w:rPr>
              <w:t>二等舱</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仿宋" w:eastAsia="仿宋" w:hAnsi="宋体" w:cs="宋体" w:hint="eastAsia"/>
                <w:color w:val="000000"/>
                <w:kern w:val="0"/>
                <w:sz w:val="24"/>
                <w:szCs w:val="24"/>
              </w:rPr>
              <w:t>经济舱</w:t>
            </w:r>
          </w:p>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仿宋" w:eastAsia="仿宋" w:hAnsi="宋体" w:cs="宋体" w:hint="eastAsia"/>
                <w:color w:val="000000"/>
                <w:kern w:val="0"/>
                <w:sz w:val="24"/>
                <w:szCs w:val="24"/>
              </w:rPr>
              <w:t>（普通舱）</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仿宋" w:eastAsia="仿宋" w:hAnsi="宋体" w:cs="宋体" w:hint="eastAsia"/>
                <w:color w:val="000000"/>
                <w:kern w:val="0"/>
                <w:sz w:val="24"/>
                <w:szCs w:val="24"/>
              </w:rPr>
              <w:t>据实报销</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仿宋" w:eastAsia="仿宋" w:hAnsi="宋体" w:cs="宋体" w:hint="eastAsia"/>
                <w:color w:val="000000"/>
                <w:kern w:val="0"/>
                <w:sz w:val="24"/>
                <w:szCs w:val="24"/>
              </w:rPr>
              <w:t>300</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655BFF" w:rsidRPr="00655BFF" w:rsidRDefault="00655BFF" w:rsidP="00655BFF">
            <w:pPr>
              <w:widowControl/>
              <w:spacing w:before="100" w:beforeAutospacing="1" w:after="100" w:afterAutospacing="1" w:line="300" w:lineRule="exact"/>
              <w:jc w:val="center"/>
              <w:rPr>
                <w:rFonts w:ascii="微软雅黑" w:eastAsia="微软雅黑" w:hAnsi="微软雅黑" w:cs="宋体" w:hint="eastAsia"/>
                <w:color w:val="333333"/>
                <w:kern w:val="0"/>
                <w:sz w:val="18"/>
                <w:szCs w:val="18"/>
              </w:rPr>
            </w:pPr>
            <w:r w:rsidRPr="00655BFF">
              <w:rPr>
                <w:rFonts w:ascii="仿宋" w:eastAsia="仿宋" w:hAnsi="宋体" w:cs="宋体" w:hint="eastAsia"/>
                <w:color w:val="000000"/>
                <w:kern w:val="0"/>
                <w:sz w:val="24"/>
                <w:szCs w:val="24"/>
              </w:rPr>
              <w:t>300</w:t>
            </w:r>
          </w:p>
        </w:tc>
      </w:tr>
      <w:tr w:rsidR="00655BFF" w:rsidRPr="00655BFF" w:rsidTr="00655BFF">
        <w:trPr>
          <w:trHeight w:val="1736"/>
          <w:jc w:val="center"/>
        </w:trPr>
        <w:tc>
          <w:tcPr>
            <w:tcW w:w="2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BFF" w:rsidRPr="00655BFF" w:rsidRDefault="00655BFF" w:rsidP="00655BFF">
            <w:pPr>
              <w:widowControl/>
              <w:spacing w:line="300" w:lineRule="exact"/>
              <w:jc w:val="center"/>
              <w:rPr>
                <w:rFonts w:ascii="微软雅黑" w:eastAsia="微软雅黑" w:hAnsi="微软雅黑" w:cs="宋体" w:hint="eastAsia"/>
                <w:color w:val="333333"/>
                <w:kern w:val="0"/>
                <w:sz w:val="18"/>
                <w:szCs w:val="18"/>
              </w:rPr>
            </w:pPr>
            <w:r w:rsidRPr="00655BFF">
              <w:rPr>
                <w:rFonts w:ascii="宋体" w:eastAsia="宋体" w:hAnsi="宋体" w:cs="宋体" w:hint="eastAsia"/>
                <w:color w:val="000000"/>
                <w:kern w:val="0"/>
                <w:sz w:val="18"/>
                <w:szCs w:val="18"/>
              </w:rPr>
              <w:t>正副处级及以下职务人员</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FF" w:rsidRPr="00655BFF" w:rsidRDefault="00655BFF" w:rsidP="00655BFF">
            <w:pPr>
              <w:widowControl/>
              <w:spacing w:line="300" w:lineRule="exact"/>
              <w:jc w:val="center"/>
              <w:rPr>
                <w:rFonts w:ascii="微软雅黑" w:eastAsia="微软雅黑" w:hAnsi="微软雅黑" w:cs="宋体" w:hint="eastAsia"/>
                <w:color w:val="333333"/>
                <w:kern w:val="0"/>
                <w:sz w:val="18"/>
                <w:szCs w:val="18"/>
              </w:rPr>
            </w:pPr>
            <w:r w:rsidRPr="00655BFF">
              <w:rPr>
                <w:rFonts w:ascii="宋体" w:eastAsia="宋体" w:hAnsi="宋体" w:cs="宋体" w:hint="eastAsia"/>
                <w:color w:val="000000"/>
                <w:kern w:val="0"/>
                <w:sz w:val="18"/>
                <w:szCs w:val="18"/>
              </w:rPr>
              <w:t>硬席</w:t>
            </w:r>
          </w:p>
          <w:p w:rsidR="00655BFF" w:rsidRPr="00655BFF" w:rsidRDefault="00655BFF" w:rsidP="00655BFF">
            <w:pPr>
              <w:widowControl/>
              <w:spacing w:line="300" w:lineRule="exact"/>
              <w:jc w:val="center"/>
              <w:rPr>
                <w:rFonts w:ascii="微软雅黑" w:eastAsia="微软雅黑" w:hAnsi="微软雅黑" w:cs="宋体" w:hint="eastAsia"/>
                <w:color w:val="333333"/>
                <w:kern w:val="0"/>
                <w:sz w:val="18"/>
                <w:szCs w:val="18"/>
              </w:rPr>
            </w:pPr>
            <w:r w:rsidRPr="00655BFF">
              <w:rPr>
                <w:rFonts w:ascii="宋体" w:eastAsia="宋体" w:hAnsi="宋体" w:cs="宋体" w:hint="eastAsia"/>
                <w:color w:val="000000"/>
                <w:kern w:val="0"/>
                <w:sz w:val="18"/>
                <w:szCs w:val="18"/>
              </w:rPr>
              <w:t>（硬座、硬卧）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55BFF" w:rsidRPr="00655BFF" w:rsidRDefault="00655BFF" w:rsidP="00655BFF">
            <w:pPr>
              <w:widowControl/>
              <w:spacing w:line="300" w:lineRule="exact"/>
              <w:jc w:val="center"/>
              <w:rPr>
                <w:rFonts w:ascii="微软雅黑" w:eastAsia="微软雅黑" w:hAnsi="微软雅黑" w:cs="宋体" w:hint="eastAsia"/>
                <w:color w:val="333333"/>
                <w:kern w:val="0"/>
                <w:sz w:val="18"/>
                <w:szCs w:val="18"/>
              </w:rPr>
            </w:pPr>
            <w:r w:rsidRPr="00655BFF">
              <w:rPr>
                <w:rFonts w:ascii="宋体" w:eastAsia="宋体" w:hAnsi="宋体" w:cs="宋体" w:hint="eastAsia"/>
                <w:color w:val="000000"/>
                <w:kern w:val="0"/>
                <w:sz w:val="18"/>
                <w:szCs w:val="18"/>
              </w:rPr>
              <w:t>二等座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55BFF" w:rsidRPr="00655BFF" w:rsidRDefault="00655BFF" w:rsidP="00655BFF">
            <w:pPr>
              <w:widowControl/>
              <w:spacing w:line="300" w:lineRule="exact"/>
              <w:jc w:val="center"/>
              <w:rPr>
                <w:rFonts w:ascii="微软雅黑" w:eastAsia="微软雅黑" w:hAnsi="微软雅黑" w:cs="宋体" w:hint="eastAsia"/>
                <w:color w:val="333333"/>
                <w:kern w:val="0"/>
                <w:sz w:val="18"/>
                <w:szCs w:val="18"/>
              </w:rPr>
            </w:pPr>
            <w:r w:rsidRPr="00655BFF">
              <w:rPr>
                <w:rFonts w:ascii="宋体" w:eastAsia="宋体" w:hAnsi="宋体" w:cs="宋体" w:hint="eastAsia"/>
                <w:color w:val="000000"/>
                <w:kern w:val="0"/>
                <w:sz w:val="18"/>
                <w:szCs w:val="18"/>
              </w:rPr>
              <w:t>三等舱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55BFF" w:rsidRPr="00655BFF" w:rsidRDefault="00655BFF" w:rsidP="00655BFF">
            <w:pPr>
              <w:widowControl/>
              <w:spacing w:line="300" w:lineRule="exact"/>
              <w:jc w:val="center"/>
              <w:rPr>
                <w:rFonts w:ascii="微软雅黑" w:eastAsia="微软雅黑" w:hAnsi="微软雅黑" w:cs="宋体" w:hint="eastAsia"/>
                <w:color w:val="333333"/>
                <w:kern w:val="0"/>
                <w:sz w:val="18"/>
                <w:szCs w:val="18"/>
              </w:rPr>
            </w:pPr>
            <w:r w:rsidRPr="00655BFF">
              <w:rPr>
                <w:rFonts w:ascii="宋体" w:eastAsia="宋体" w:hAnsi="宋体" w:cs="宋体" w:hint="eastAsia"/>
                <w:color w:val="000000"/>
                <w:kern w:val="0"/>
                <w:sz w:val="18"/>
                <w:szCs w:val="18"/>
              </w:rPr>
              <w:t>经济舱</w:t>
            </w:r>
          </w:p>
          <w:p w:rsidR="00655BFF" w:rsidRPr="00655BFF" w:rsidRDefault="00655BFF" w:rsidP="00655BFF">
            <w:pPr>
              <w:widowControl/>
              <w:spacing w:line="300" w:lineRule="exact"/>
              <w:jc w:val="center"/>
              <w:rPr>
                <w:rFonts w:ascii="微软雅黑" w:eastAsia="微软雅黑" w:hAnsi="微软雅黑" w:cs="宋体" w:hint="eastAsia"/>
                <w:color w:val="333333"/>
                <w:kern w:val="0"/>
                <w:sz w:val="18"/>
                <w:szCs w:val="18"/>
              </w:rPr>
            </w:pPr>
            <w:r w:rsidRPr="00655BFF">
              <w:rPr>
                <w:rFonts w:ascii="宋体" w:eastAsia="宋体" w:hAnsi="宋体" w:cs="宋体" w:hint="eastAsia"/>
                <w:color w:val="000000"/>
                <w:kern w:val="0"/>
                <w:sz w:val="18"/>
                <w:szCs w:val="18"/>
              </w:rPr>
              <w:t>（普通舱）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55BFF" w:rsidRPr="00655BFF" w:rsidRDefault="00655BFF" w:rsidP="00655BFF">
            <w:pPr>
              <w:widowControl/>
              <w:spacing w:line="300" w:lineRule="exact"/>
              <w:jc w:val="center"/>
              <w:rPr>
                <w:rFonts w:ascii="微软雅黑" w:eastAsia="微软雅黑" w:hAnsi="微软雅黑" w:cs="宋体" w:hint="eastAsia"/>
                <w:color w:val="333333"/>
                <w:kern w:val="0"/>
                <w:sz w:val="18"/>
                <w:szCs w:val="18"/>
              </w:rPr>
            </w:pPr>
            <w:r w:rsidRPr="00655BFF">
              <w:rPr>
                <w:rFonts w:ascii="宋体" w:eastAsia="宋体" w:hAnsi="宋体" w:cs="宋体" w:hint="eastAsia"/>
                <w:color w:val="000000"/>
                <w:kern w:val="0"/>
                <w:sz w:val="18"/>
                <w:szCs w:val="18"/>
              </w:rPr>
              <w:t>据实报销</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55BFF" w:rsidRPr="00655BFF" w:rsidRDefault="00655BFF" w:rsidP="00655BFF">
            <w:pPr>
              <w:widowControl/>
              <w:spacing w:line="300" w:lineRule="exact"/>
              <w:jc w:val="center"/>
              <w:rPr>
                <w:rFonts w:ascii="微软雅黑" w:eastAsia="微软雅黑" w:hAnsi="微软雅黑" w:cs="宋体" w:hint="eastAsia"/>
                <w:color w:val="333333"/>
                <w:kern w:val="0"/>
                <w:sz w:val="18"/>
                <w:szCs w:val="18"/>
              </w:rPr>
            </w:pPr>
            <w:r w:rsidRPr="00655BFF">
              <w:rPr>
                <w:rFonts w:ascii="宋体" w:eastAsia="宋体" w:hAnsi="宋体" w:cs="宋体" w:hint="eastAsia"/>
                <w:color w:val="000000"/>
                <w:kern w:val="0"/>
                <w:sz w:val="18"/>
                <w:szCs w:val="18"/>
              </w:rPr>
              <w:t>150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55BFF" w:rsidRPr="00655BFF" w:rsidRDefault="00655BFF" w:rsidP="00655BFF">
            <w:pPr>
              <w:widowControl/>
              <w:spacing w:line="300" w:lineRule="exact"/>
              <w:jc w:val="center"/>
              <w:rPr>
                <w:rFonts w:ascii="微软雅黑" w:eastAsia="微软雅黑" w:hAnsi="微软雅黑" w:cs="宋体" w:hint="eastAsia"/>
                <w:color w:val="333333"/>
                <w:kern w:val="0"/>
                <w:sz w:val="18"/>
                <w:szCs w:val="18"/>
              </w:rPr>
            </w:pPr>
            <w:r w:rsidRPr="00655BFF">
              <w:rPr>
                <w:rFonts w:ascii="宋体" w:eastAsia="宋体" w:hAnsi="宋体" w:cs="宋体" w:hint="eastAsia"/>
                <w:color w:val="000000"/>
                <w:kern w:val="0"/>
                <w:sz w:val="18"/>
                <w:szCs w:val="18"/>
              </w:rPr>
              <w:t>150</w:t>
            </w:r>
          </w:p>
        </w:tc>
      </w:tr>
    </w:tbl>
    <w:p w:rsidR="00655BFF" w:rsidRPr="00655BFF" w:rsidRDefault="00655BFF" w:rsidP="00655BFF">
      <w:pPr>
        <w:widowControl/>
        <w:ind w:firstLineChars="240" w:firstLine="720"/>
        <w:jc w:val="left"/>
        <w:rPr>
          <w:rFonts w:ascii="微软雅黑" w:eastAsia="微软雅黑" w:hAnsi="微软雅黑" w:cs="Arial" w:hint="eastAsia"/>
          <w:color w:val="333333"/>
          <w:kern w:val="0"/>
          <w:sz w:val="18"/>
          <w:szCs w:val="18"/>
        </w:rPr>
      </w:pPr>
      <w:r w:rsidRPr="00655BFF">
        <w:rPr>
          <w:rFonts w:ascii="仿宋_GB2312" w:eastAsia="仿宋_GB2312" w:hAnsi="微软雅黑" w:cs="Arial" w:hint="eastAsia"/>
          <w:color w:val="333333"/>
          <w:kern w:val="0"/>
          <w:sz w:val="30"/>
          <w:szCs w:val="30"/>
        </w:rPr>
        <w:t> </w:t>
      </w:r>
    </w:p>
    <w:p w:rsidR="00655BFF" w:rsidRDefault="00655BFF"/>
    <w:sectPr w:rsidR="00655B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FF"/>
    <w:rsid w:val="00655BFF"/>
    <w:rsid w:val="00713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B130"/>
  <w15:chartTrackingRefBased/>
  <w15:docId w15:val="{090935EB-C01D-44AB-83A3-BB01802A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5BFF"/>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89763">
      <w:bodyDiv w:val="1"/>
      <w:marLeft w:val="0"/>
      <w:marRight w:val="0"/>
      <w:marTop w:val="0"/>
      <w:marBottom w:val="0"/>
      <w:divBdr>
        <w:top w:val="none" w:sz="0" w:space="0" w:color="auto"/>
        <w:left w:val="none" w:sz="0" w:space="0" w:color="auto"/>
        <w:bottom w:val="none" w:sz="0" w:space="0" w:color="auto"/>
        <w:right w:val="none" w:sz="0" w:space="0" w:color="auto"/>
      </w:divBdr>
      <w:divsChild>
        <w:div w:id="189729835">
          <w:marLeft w:val="0"/>
          <w:marRight w:val="0"/>
          <w:marTop w:val="0"/>
          <w:marBottom w:val="0"/>
          <w:divBdr>
            <w:top w:val="none" w:sz="0" w:space="0" w:color="auto"/>
            <w:left w:val="none" w:sz="0" w:space="0" w:color="auto"/>
            <w:bottom w:val="none" w:sz="0" w:space="0" w:color="auto"/>
            <w:right w:val="none" w:sz="0" w:space="0" w:color="auto"/>
          </w:divBdr>
          <w:divsChild>
            <w:div w:id="1207449781">
              <w:marLeft w:val="0"/>
              <w:marRight w:val="0"/>
              <w:marTop w:val="0"/>
              <w:marBottom w:val="0"/>
              <w:divBdr>
                <w:top w:val="none" w:sz="0" w:space="0" w:color="auto"/>
                <w:left w:val="none" w:sz="0" w:space="0" w:color="auto"/>
                <w:bottom w:val="none" w:sz="0" w:space="0" w:color="auto"/>
                <w:right w:val="none" w:sz="0" w:space="0" w:color="auto"/>
              </w:divBdr>
              <w:divsChild>
                <w:div w:id="1019889280">
                  <w:marLeft w:val="0"/>
                  <w:marRight w:val="0"/>
                  <w:marTop w:val="0"/>
                  <w:marBottom w:val="0"/>
                  <w:divBdr>
                    <w:top w:val="none" w:sz="0" w:space="0" w:color="auto"/>
                    <w:left w:val="none" w:sz="0" w:space="0" w:color="auto"/>
                    <w:bottom w:val="none" w:sz="0" w:space="0" w:color="auto"/>
                    <w:right w:val="none" w:sz="0" w:space="0" w:color="auto"/>
                  </w:divBdr>
                  <w:divsChild>
                    <w:div w:id="1202596405">
                      <w:marLeft w:val="0"/>
                      <w:marRight w:val="0"/>
                      <w:marTop w:val="0"/>
                      <w:marBottom w:val="0"/>
                      <w:divBdr>
                        <w:top w:val="none" w:sz="0" w:space="0" w:color="auto"/>
                        <w:left w:val="none" w:sz="0" w:space="0" w:color="auto"/>
                        <w:bottom w:val="none" w:sz="0" w:space="0" w:color="auto"/>
                        <w:right w:val="none" w:sz="0" w:space="0" w:color="auto"/>
                      </w:divBdr>
                      <w:divsChild>
                        <w:div w:id="1619527712">
                          <w:marLeft w:val="0"/>
                          <w:marRight w:val="0"/>
                          <w:marTop w:val="0"/>
                          <w:marBottom w:val="0"/>
                          <w:divBdr>
                            <w:top w:val="none" w:sz="0" w:space="0" w:color="auto"/>
                            <w:left w:val="none" w:sz="0" w:space="0" w:color="auto"/>
                            <w:bottom w:val="none" w:sz="0" w:space="0" w:color="auto"/>
                            <w:right w:val="none" w:sz="0" w:space="0" w:color="auto"/>
                          </w:divBdr>
                          <w:divsChild>
                            <w:div w:id="1705713488">
                              <w:marLeft w:val="0"/>
                              <w:marRight w:val="0"/>
                              <w:marTop w:val="0"/>
                              <w:marBottom w:val="0"/>
                              <w:divBdr>
                                <w:top w:val="none" w:sz="0" w:space="0" w:color="auto"/>
                                <w:left w:val="none" w:sz="0" w:space="0" w:color="auto"/>
                                <w:bottom w:val="none" w:sz="0" w:space="0" w:color="auto"/>
                                <w:right w:val="none" w:sz="0" w:space="0" w:color="auto"/>
                              </w:divBdr>
                              <w:divsChild>
                                <w:div w:id="42568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洪壮志</dc:creator>
  <cp:keywords/>
  <dc:description/>
  <cp:lastModifiedBy>洪壮志</cp:lastModifiedBy>
  <cp:revision>2</cp:revision>
  <dcterms:created xsi:type="dcterms:W3CDTF">2024-10-18T06:11:00Z</dcterms:created>
  <dcterms:modified xsi:type="dcterms:W3CDTF">2024-10-18T06:12:00Z</dcterms:modified>
</cp:coreProperties>
</file>