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032C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  <w:bookmarkStart w:id="0" w:name="OLE_LINK1"/>
      <w:bookmarkStart w:id="1" w:name="OLE_LINK3"/>
      <w:bookmarkStart w:id="2" w:name="OLE_LINK4"/>
      <w:bookmarkStart w:id="4" w:name="_GoBack"/>
      <w:bookmarkEnd w:id="4"/>
    </w:p>
    <w:p w14:paraId="0B1F16FB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</w:p>
    <w:p w14:paraId="331BC87A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</w:p>
    <w:p w14:paraId="08561BCB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</w:p>
    <w:p w14:paraId="551D82AD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</w:p>
    <w:p w14:paraId="2068B058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关于印发《2026年安徽警官职业学院财务工作要点》的通知</w:t>
      </w:r>
      <w:bookmarkEnd w:id="0"/>
    </w:p>
    <w:bookmarkEnd w:id="1"/>
    <w:p w14:paraId="0481DE3D">
      <w:pPr>
        <w:widowControl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DE00216">
      <w:pPr>
        <w:widowControl/>
        <w:spacing w:line="579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院属各单位、各部门：</w:t>
      </w:r>
    </w:p>
    <w:p w14:paraId="2E4CB622">
      <w:pPr>
        <w:widowControl/>
        <w:spacing w:line="579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为落实教代会 工代会关于财务工作意见，行财处制定了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《2026年安徽警官职业学院财务工作要点》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工作要点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业经院领导同意，现予以印发，请各单位、各部门下载阅知，并遵照执行。</w:t>
      </w:r>
    </w:p>
    <w:p w14:paraId="407D61FB">
      <w:pPr>
        <w:widowControl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1E27264">
      <w:pPr>
        <w:widowControl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614D730">
      <w:pPr>
        <w:widowControl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441E83F">
      <w:pPr>
        <w:widowControl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F0BC294">
      <w:pPr>
        <w:widowControl/>
        <w:spacing w:line="579" w:lineRule="exact"/>
        <w:ind w:firstLine="5760" w:firstLineChars="18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院行政财务处</w:t>
      </w:r>
    </w:p>
    <w:p w14:paraId="53FE0117">
      <w:pPr>
        <w:widowControl/>
        <w:spacing w:line="579" w:lineRule="exact"/>
        <w:ind w:firstLine="5440" w:firstLineChars="17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2026年3月1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73B85268">
      <w:pPr>
        <w:widowControl/>
        <w:spacing w:line="579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bookmarkEnd w:id="2"/>
    <w:p w14:paraId="6CFB39F3">
      <w:pPr>
        <w:widowControl/>
        <w:spacing w:line="579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7F551D98">
      <w:pPr>
        <w:widowControl/>
        <w:spacing w:line="579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249005BE">
      <w:pPr>
        <w:widowControl/>
        <w:spacing w:line="579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45999538">
      <w:pPr>
        <w:widowControl/>
        <w:spacing w:line="579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 w14:paraId="4CC50775">
      <w:pPr>
        <w:widowControl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6"/>
          <w:szCs w:val="36"/>
        </w:rPr>
        <w:t>2026年安徽警官职业学院财务工作要点</w:t>
      </w:r>
    </w:p>
    <w:p w14:paraId="4A39DA85">
      <w:pPr>
        <w:widowControl/>
        <w:spacing w:line="579" w:lineRule="exact"/>
        <w:jc w:val="center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eastAsia="zh-CN"/>
        </w:rPr>
      </w:pPr>
    </w:p>
    <w:p w14:paraId="75FF14F8">
      <w:pPr>
        <w:widowControl/>
        <w:spacing w:line="579" w:lineRule="exact"/>
        <w:ind w:firstLine="643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总体目标：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以“保工资、保运转、保重点”为核心，深化预算绩效改革，拓展多元融资渠道，强化财会监督质效，为新校区一期平稳运行、二期顺利建设及学院高质量发展提供坚实财务保障。</w:t>
      </w:r>
    </w:p>
    <w:p w14:paraId="2C4C7E12">
      <w:pPr>
        <w:widowControl/>
        <w:spacing w:line="579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一、深化预算绩效改革，提升资金配置效能</w:t>
      </w:r>
    </w:p>
    <w:p w14:paraId="2157FB84">
      <w:pPr>
        <w:widowControl/>
        <w:numPr>
          <w:ilvl w:val="0"/>
          <w:numId w:val="1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严格预算执行。落实《预算法》，坚持“先有预算后有支出”，强化预算指标刚性控制，利用智慧财务平台细化部门职责分工，确保预算执行合规有序。</w:t>
      </w:r>
    </w:p>
    <w:p w14:paraId="28D61B37">
      <w:pPr>
        <w:widowControl/>
        <w:numPr>
          <w:ilvl w:val="0"/>
          <w:numId w:val="1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深化零基预算改革。打破支出固化格局，优先保障新校区运行、省“双高计划”建设、教科研项目、人才引育等重点领域，大力压减一般性、非必要支出。</w:t>
      </w:r>
    </w:p>
    <w:p w14:paraId="25E774C2">
      <w:pPr>
        <w:widowControl/>
        <w:numPr>
          <w:ilvl w:val="0"/>
          <w:numId w:val="1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推进全面绩效管理。完善全覆盖、全过程预算绩效管理体系，强化绩效评价结果运用，坚决做到“花钱必问效、无效必问责”。</w:t>
      </w:r>
    </w:p>
    <w:p w14:paraId="37E9F0FB">
      <w:pPr>
        <w:widowControl/>
        <w:numPr>
          <w:ilvl w:val="0"/>
          <w:numId w:val="1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健全执行通报机制。定期分析资金使用情况，动态监测预算执行进度，确保资金高效、均衡支出。</w:t>
      </w:r>
    </w:p>
    <w:p w14:paraId="07DA3881">
      <w:pPr>
        <w:widowControl/>
        <w:numPr>
          <w:ilvl w:val="0"/>
          <w:numId w:val="1"/>
        </w:numPr>
        <w:spacing w:line="579" w:lineRule="exact"/>
        <w:ind w:left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落实“过紧日子”要求。严控会议、差旅、水电等日常经费，优化支出结构，提升资金使用效益。</w:t>
      </w:r>
    </w:p>
    <w:p w14:paraId="4524721E">
      <w:pPr>
        <w:widowControl/>
        <w:spacing w:line="579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二、加强财会监督，规范财经秩序</w:t>
      </w:r>
    </w:p>
    <w:p w14:paraId="0D082E56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完善内控机制。推进内部控制信息化建设，强化关键岗位和重点领域风险防控，持续优化网络报销和报账员制度。</w:t>
      </w:r>
    </w:p>
    <w:p w14:paraId="43223578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严格经费监管。修订完善教科研经费报销负面清单，加强科研经费全过程监管，强化责任倒查与警示教育。</w:t>
      </w:r>
    </w:p>
    <w:p w14:paraId="48266242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规范收费管理。压实二级单位收费责任，定期通报学费欠缴情况，推进非税收入电子化改革，提升学生缴费便利度。</w:t>
      </w:r>
    </w:p>
    <w:p w14:paraId="05E47E8D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强化审计整改。落实巡视、审计发现问题闭环管理，确保问题真改实改，推动系统治理和常态长效。</w:t>
      </w:r>
    </w:p>
    <w:p w14:paraId="61D1BF8A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推进财务公开。定期公开学院预决算、收费及资产信息，主动接受监督，打造“透明财务”。</w:t>
      </w:r>
    </w:p>
    <w:p w14:paraId="462BAC4A">
      <w:pPr>
        <w:widowControl/>
        <w:numPr>
          <w:ilvl w:val="0"/>
          <w:numId w:val="2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严肃财经纪律。加大对重点领域、关键环节的财务监督力度，确保资金安全规范运行。</w:t>
      </w:r>
    </w:p>
    <w:p w14:paraId="75E60B69">
      <w:pPr>
        <w:widowControl/>
        <w:spacing w:line="579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三、攻坚多元融资，保障重大项目建设</w:t>
      </w:r>
    </w:p>
    <w:p w14:paraId="62E4D4B5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全力保障新校区建设资金。完成新校区二期专项债申报发行，规范使用已到位专项债资金，确保专款专用。</w:t>
      </w:r>
    </w:p>
    <w:p w14:paraId="5C4E0A08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拓宽政策性资金渠道。积极申报国债、中央预算内投资等国家及省级政策性资金支持。</w:t>
      </w:r>
    </w:p>
    <w:p w14:paraId="4D54F8C8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深化银校合作。审慎稳妥推进商业银行贷款融资，做好资金储备和债务风险防控。</w:t>
      </w:r>
    </w:p>
    <w:p w14:paraId="242C333E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加快老校区资产盘活。适时推进土地收储或置换，统筹盘活现有校区资源，为新校区建设注入资金。</w:t>
      </w:r>
    </w:p>
    <w:p w14:paraId="39738F0C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推动教育发展基金会实质性运作。拓展社会捐赠渠道，吸引行业企业、校友等社会力量支持学院发展。</w:t>
      </w:r>
    </w:p>
    <w:p w14:paraId="7896B91D">
      <w:pPr>
        <w:widowControl/>
        <w:numPr>
          <w:ilvl w:val="0"/>
          <w:numId w:val="3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增强自身造血能力。积极争取与省监狱管理局等行业单位合作办学资金，增加培训收入，兑现绩效激励。</w:t>
      </w:r>
    </w:p>
    <w:p w14:paraId="4A09E4F3">
      <w:pPr>
        <w:widowControl/>
        <w:spacing w:line="579" w:lineRule="exact"/>
        <w:ind w:firstLine="643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四、优化财务服务，保障师生福利</w:t>
      </w:r>
    </w:p>
    <w:p w14:paraId="54544AF2">
      <w:pPr>
        <w:widowControl/>
        <w:numPr>
          <w:ilvl w:val="0"/>
          <w:numId w:val="4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优先保障工资福利。预算足额安排教职工工资按时发放，落实各项工资待遇，不因建设影响教职工福利。</w:t>
      </w:r>
    </w:p>
    <w:p w14:paraId="6ACBA051">
      <w:pPr>
        <w:widowControl/>
        <w:numPr>
          <w:ilvl w:val="0"/>
          <w:numId w:val="4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落实普惠性福利。自筹资金保障工会福利、伙食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、住房货币化补贴、离退休人员待遇等，提升教职工获得感。</w:t>
      </w:r>
    </w:p>
    <w:p w14:paraId="2DFC7597">
      <w:pPr>
        <w:widowControl/>
        <w:numPr>
          <w:ilvl w:val="0"/>
          <w:numId w:val="4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筑牢健康保障防线。继续落实教职工体检标准、医疗补助及意外伤害保险。</w:t>
      </w:r>
    </w:p>
    <w:p w14:paraId="631AB8A3">
      <w:pPr>
        <w:widowControl/>
        <w:numPr>
          <w:ilvl w:val="0"/>
          <w:numId w:val="4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提升学生服务体验。优化学生缴费系统，加强学费清缴管理，做好奖助学金等资金发放服务。</w:t>
      </w:r>
    </w:p>
    <w:p w14:paraId="7A9B0641">
      <w:pPr>
        <w:widowControl/>
        <w:numPr>
          <w:ilvl w:val="0"/>
          <w:numId w:val="4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保障新校区运行服务。配合做好新校区食堂、公寓等后勤财务保障，确保新校区平稳有序启用。</w:t>
      </w:r>
    </w:p>
    <w:p w14:paraId="69C60657">
      <w:pPr>
        <w:widowControl/>
        <w:spacing w:line="579" w:lineRule="exact"/>
        <w:ind w:firstLine="643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五、强化党建引领，锻造专业队伍</w:t>
      </w:r>
    </w:p>
    <w:p w14:paraId="32511401">
      <w:pPr>
        <w:widowControl/>
        <w:numPr>
          <w:ilvl w:val="0"/>
          <w:numId w:val="5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加强政治建设。</w:t>
      </w:r>
      <w:bookmarkStart w:id="3" w:name="OLE_LINK2"/>
      <w:r>
        <w:rPr>
          <w:rFonts w:hint="eastAsia" w:ascii="仿宋_GB2312" w:hAnsi="宋体" w:eastAsia="仿宋_GB2312" w:cs="宋体"/>
          <w:kern w:val="0"/>
          <w:sz w:val="32"/>
          <w:szCs w:val="32"/>
        </w:rPr>
        <w:t>深入学习贯彻党的二十大及二十届历次全会精神，巩固拓展党纪学习教育成果，开展树立和践行正确政绩观学习教育，以党建引领财务业务深度融合。</w:t>
      </w:r>
      <w:bookmarkEnd w:id="3"/>
    </w:p>
    <w:p w14:paraId="5BE8AB4D">
      <w:pPr>
        <w:widowControl/>
        <w:numPr>
          <w:ilvl w:val="0"/>
          <w:numId w:val="5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深化廉政教育。落实党风廉政建设责任制，加强财务人员廉洁自律和职业道德教育，筑牢拒腐防变防线。</w:t>
      </w:r>
    </w:p>
    <w:p w14:paraId="0415BB8C">
      <w:pPr>
        <w:widowControl/>
        <w:numPr>
          <w:ilvl w:val="0"/>
          <w:numId w:val="5"/>
        </w:numPr>
        <w:spacing w:line="579" w:lineRule="exact"/>
        <w:ind w:left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提升专业能力。实施财务人员能力提升计划，组织参加职称考试、业务培训、高校交流及会计师事务所跟班学习，提升政策把握和服务大局能力。</w:t>
      </w:r>
    </w:p>
    <w:p w14:paraId="0F4764C1">
      <w:pPr>
        <w:widowControl/>
        <w:numPr>
          <w:numId w:val="0"/>
        </w:numPr>
        <w:spacing w:line="579" w:lineRule="exact"/>
        <w:ind w:left="-360" w:leftChars="0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优化服务意识。强化师德师风建设，提升财务窗口服务质量和效率，为师生排忧解难。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E14B30-B8B8-4ABD-9BB4-AF25BB9C2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733CA1E-3968-44FB-878D-F9D96817F4A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1852E68-DF16-477F-9244-DB275FFC02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E8F06E-34E0-4A76-90EE-0BD7CBB793C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FAA6204-7236-4C77-B25B-2F61E4A24B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571020"/>
      <w:docPartObj>
        <w:docPartGallery w:val="autotext"/>
      </w:docPartObj>
    </w:sdtPr>
    <w:sdtContent>
      <w:p w14:paraId="50DAFB5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B07C9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30A29"/>
    <w:multiLevelType w:val="multilevel"/>
    <w:tmpl w:val="05E30A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FA2619"/>
    <w:multiLevelType w:val="multilevel"/>
    <w:tmpl w:val="1DFA26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3F43B3"/>
    <w:multiLevelType w:val="multilevel"/>
    <w:tmpl w:val="283F43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92726D9"/>
    <w:multiLevelType w:val="multilevel"/>
    <w:tmpl w:val="492726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CDB15BF"/>
    <w:multiLevelType w:val="multilevel"/>
    <w:tmpl w:val="5CDB15B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OTM3OTlhNzdjYzY1MWIyYmYwNGVjOWVmNDFjYzIifQ=="/>
  </w:docVars>
  <w:rsids>
    <w:rsidRoot w:val="00BA1356"/>
    <w:rsid w:val="00AB6713"/>
    <w:rsid w:val="00BA1356"/>
    <w:rsid w:val="0668200B"/>
    <w:rsid w:val="09193734"/>
    <w:rsid w:val="09CE2E27"/>
    <w:rsid w:val="4EDE107D"/>
    <w:rsid w:val="5F880E42"/>
    <w:rsid w:val="6BAA0C48"/>
    <w:rsid w:val="72F8342D"/>
    <w:rsid w:val="7B10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1556</Words>
  <Characters>1575</Characters>
  <Lines>11</Lines>
  <Paragraphs>3</Paragraphs>
  <TotalTime>11</TotalTime>
  <ScaleCrop>false</ScaleCrop>
  <LinksUpToDate>false</LinksUpToDate>
  <CharactersWithSpaces>1576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2026-03-12T05:17:00Z</dcterms:created>
  <dc:creator>洪壮志</dc:creator>
  <cp:lastModifiedBy>洪壮志</cp:lastModifiedBy>
  <cp:lastPrinted>2026-04-02T12:08:05Z</cp:lastPrinted>
  <dcterms:modified xsi:type="dcterms:W3CDTF">2026-04-02T12:08:08Z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28D2F7F53FD24A898892B04A4183B89E_13</vt:lpwstr>
  </property>
</Properties>
</file>